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DC3" w:rsidRDefault="004819DC" w:rsidP="00226DC3">
      <w:pPr>
        <w:shd w:val="clear" w:color="auto" w:fill="FFFFFF"/>
        <w:spacing w:line="276" w:lineRule="auto"/>
        <w:rPr>
          <w:rFonts w:asciiTheme="majorHAnsi" w:hAnsiTheme="majorHAnsi"/>
          <w:b/>
        </w:rPr>
      </w:pPr>
      <w:r w:rsidRPr="00226DC3">
        <w:rPr>
          <w:rFonts w:asciiTheme="majorHAnsi" w:hAnsiTheme="majorHAnsi"/>
          <w:b/>
        </w:rPr>
        <w:t xml:space="preserve">Literature AO3 </w:t>
      </w:r>
      <w:r w:rsidR="006B6CEA" w:rsidRPr="00226DC3">
        <w:rPr>
          <w:rFonts w:asciiTheme="majorHAnsi" w:hAnsiTheme="majorHAnsi"/>
          <w:b/>
        </w:rPr>
        <w:t>Mastery Therapy</w:t>
      </w:r>
      <w:bookmarkStart w:id="0" w:name="_GoBack"/>
      <w:bookmarkEnd w:id="0"/>
      <w:r w:rsidRPr="00226DC3">
        <w:rPr>
          <w:rFonts w:asciiTheme="majorHAnsi" w:hAnsiTheme="majorHAnsi"/>
          <w:b/>
        </w:rPr>
        <w:t xml:space="preserve">: </w:t>
      </w:r>
    </w:p>
    <w:p w:rsidR="004819DC" w:rsidRPr="00226DC3" w:rsidRDefault="004819DC" w:rsidP="00226DC3">
      <w:pPr>
        <w:shd w:val="clear" w:color="auto" w:fill="FFFFFF"/>
        <w:spacing w:line="276" w:lineRule="auto"/>
        <w:rPr>
          <w:rFonts w:asciiTheme="majorHAnsi" w:eastAsia="Times New Roman" w:hAnsiTheme="majorHAnsi" w:cs="Times New Roman"/>
          <w:lang w:eastAsia="en-GB"/>
        </w:rPr>
      </w:pPr>
      <w:r w:rsidRPr="00226DC3">
        <w:rPr>
          <w:rFonts w:asciiTheme="majorHAnsi" w:eastAsia="Times New Roman" w:hAnsiTheme="majorHAnsi" w:cs="Times New Roman"/>
          <w:lang w:eastAsia="en-GB"/>
        </w:rPr>
        <w:t>Show understanding of the relationships between texts and the contexts in which they were written.</w:t>
      </w:r>
    </w:p>
    <w:p w:rsidR="00B43D3F" w:rsidRPr="00226DC3" w:rsidRDefault="00B43D3F" w:rsidP="00226DC3">
      <w:pPr>
        <w:spacing w:line="276" w:lineRule="auto"/>
        <w:rPr>
          <w:rFonts w:asciiTheme="majorHAnsi" w:hAnsiTheme="majorHAnsi"/>
        </w:rPr>
      </w:pPr>
    </w:p>
    <w:p w:rsidR="006B6CEA" w:rsidRDefault="006B6CEA" w:rsidP="00226DC3">
      <w:pPr>
        <w:spacing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All of Shakespeare’s plays (just l</w:t>
      </w:r>
      <w:r w:rsidR="00CF268E">
        <w:rPr>
          <w:rFonts w:asciiTheme="majorHAnsi" w:hAnsiTheme="majorHAnsi" w:cs="Times"/>
          <w:color w:val="000000"/>
          <w:shd w:val="clear" w:color="auto" w:fill="FFFFFF"/>
        </w:rPr>
        <w:t>ike any other literary text) have key themes playing through them</w:t>
      </w:r>
      <w:r w:rsidRPr="00226DC3">
        <w:rPr>
          <w:rFonts w:asciiTheme="majorHAnsi" w:hAnsiTheme="majorHAnsi" w:cs="Times"/>
          <w:color w:val="000000"/>
          <w:shd w:val="clear" w:color="auto" w:fill="FFFFFF"/>
        </w:rPr>
        <w:t xml:space="preserve"> that reflect the values </w:t>
      </w:r>
      <w:r w:rsidR="00CF268E">
        <w:rPr>
          <w:rFonts w:asciiTheme="majorHAnsi" w:hAnsiTheme="majorHAnsi" w:cs="Times"/>
          <w:color w:val="000000"/>
          <w:shd w:val="clear" w:color="auto" w:fill="FFFFFF"/>
        </w:rPr>
        <w:t>and concerns of the time they were</w:t>
      </w:r>
      <w:r w:rsidRPr="00226DC3">
        <w:rPr>
          <w:rFonts w:asciiTheme="majorHAnsi" w:hAnsiTheme="majorHAnsi" w:cs="Times"/>
          <w:color w:val="000000"/>
          <w:shd w:val="clear" w:color="auto" w:fill="FFFFFF"/>
        </w:rPr>
        <w:t xml:space="preserve"> written in. When looking at </w:t>
      </w:r>
      <w:r w:rsidR="00CF268E">
        <w:rPr>
          <w:rFonts w:asciiTheme="majorHAnsi" w:hAnsiTheme="majorHAnsi" w:cs="Times"/>
          <w:color w:val="000000"/>
          <w:shd w:val="clear" w:color="auto" w:fill="FFFFFF"/>
        </w:rPr>
        <w:t xml:space="preserve">a </w:t>
      </w:r>
      <w:r w:rsidRPr="00226DC3">
        <w:rPr>
          <w:rFonts w:asciiTheme="majorHAnsi" w:hAnsiTheme="majorHAnsi" w:cs="Times"/>
          <w:color w:val="000000"/>
          <w:shd w:val="clear" w:color="auto" w:fill="FFFFFF"/>
        </w:rPr>
        <w:t>text</w:t>
      </w:r>
      <w:r w:rsidR="00F336E0" w:rsidRPr="00226DC3">
        <w:rPr>
          <w:rFonts w:asciiTheme="majorHAnsi" w:hAnsiTheme="majorHAnsi" w:cs="Times"/>
          <w:color w:val="000000"/>
          <w:shd w:val="clear" w:color="auto" w:fill="FFFFFF"/>
        </w:rPr>
        <w:t>,</w:t>
      </w:r>
      <w:r w:rsidRPr="00226DC3">
        <w:rPr>
          <w:rFonts w:asciiTheme="majorHAnsi" w:hAnsiTheme="majorHAnsi" w:cs="Times"/>
          <w:color w:val="000000"/>
          <w:shd w:val="clear" w:color="auto" w:fill="FFFFFF"/>
        </w:rPr>
        <w:t xml:space="preserve"> do not just look at the year it was performed or published</w:t>
      </w:r>
      <w:r w:rsidR="00CF268E">
        <w:rPr>
          <w:rFonts w:asciiTheme="majorHAnsi" w:hAnsiTheme="majorHAnsi" w:cs="Times"/>
          <w:color w:val="000000"/>
          <w:shd w:val="clear" w:color="auto" w:fill="FFFFFF"/>
        </w:rPr>
        <w:t>,</w:t>
      </w:r>
      <w:r w:rsidRPr="00226DC3">
        <w:rPr>
          <w:rFonts w:asciiTheme="majorHAnsi" w:hAnsiTheme="majorHAnsi" w:cs="Times"/>
          <w:color w:val="000000"/>
          <w:shd w:val="clear" w:color="auto" w:fill="FFFFFF"/>
        </w:rPr>
        <w:t xml:space="preserve"> look at the years leading up to the performance</w:t>
      </w:r>
      <w:r w:rsidR="00CF268E">
        <w:rPr>
          <w:rFonts w:asciiTheme="majorHAnsi" w:hAnsiTheme="majorHAnsi" w:cs="Times"/>
          <w:color w:val="000000"/>
          <w:shd w:val="clear" w:color="auto" w:fill="FFFFFF"/>
        </w:rPr>
        <w:t xml:space="preserve"> too</w:t>
      </w:r>
      <w:r w:rsidRPr="00226DC3">
        <w:rPr>
          <w:rFonts w:asciiTheme="majorHAnsi" w:hAnsiTheme="majorHAnsi" w:cs="Times"/>
          <w:color w:val="000000"/>
          <w:shd w:val="clear" w:color="auto" w:fill="FFFFFF"/>
        </w:rPr>
        <w:t xml:space="preserve">. </w:t>
      </w:r>
    </w:p>
    <w:p w:rsidR="00226DC3" w:rsidRPr="00226DC3" w:rsidRDefault="00226DC3" w:rsidP="00226DC3">
      <w:pPr>
        <w:spacing w:line="276" w:lineRule="auto"/>
        <w:rPr>
          <w:rFonts w:asciiTheme="majorHAnsi" w:hAnsiTheme="majorHAnsi" w:cs="Times"/>
          <w:color w:val="000000"/>
          <w:shd w:val="clear" w:color="auto" w:fill="FFFFFF"/>
        </w:rPr>
      </w:pPr>
    </w:p>
    <w:p w:rsidR="006B6CEA" w:rsidRDefault="006B6CEA" w:rsidP="00226DC3">
      <w:pPr>
        <w:spacing w:line="276" w:lineRule="auto"/>
        <w:rPr>
          <w:rFonts w:asciiTheme="majorHAnsi" w:hAnsiTheme="majorHAnsi" w:cs="Times"/>
          <w:color w:val="000000"/>
          <w:shd w:val="clear" w:color="auto" w:fill="FFFFFF"/>
        </w:rPr>
      </w:pPr>
      <w:r w:rsidRPr="00CE3028">
        <w:rPr>
          <w:rFonts w:asciiTheme="majorHAnsi" w:hAnsiTheme="majorHAnsi" w:cs="Times"/>
          <w:i/>
          <w:color w:val="000000"/>
          <w:shd w:val="clear" w:color="auto" w:fill="FFFFFF"/>
        </w:rPr>
        <w:t>Macbeth</w:t>
      </w:r>
      <w:r w:rsidRPr="00226DC3">
        <w:rPr>
          <w:rFonts w:asciiTheme="majorHAnsi" w:hAnsiTheme="majorHAnsi" w:cs="Times"/>
          <w:color w:val="000000"/>
          <w:shd w:val="clear" w:color="auto" w:fill="FFFFFF"/>
        </w:rPr>
        <w:t xml:space="preserve"> was first performed in 1611 and is believed to have been written between 1599 and 1606.</w:t>
      </w:r>
    </w:p>
    <w:p w:rsidR="00226DC3" w:rsidRPr="00226DC3" w:rsidRDefault="00226DC3" w:rsidP="00226DC3">
      <w:pPr>
        <w:spacing w:line="276" w:lineRule="auto"/>
        <w:rPr>
          <w:rFonts w:asciiTheme="majorHAnsi" w:hAnsiTheme="majorHAnsi" w:cs="Times"/>
          <w:color w:val="000000"/>
          <w:shd w:val="clear" w:color="auto" w:fill="FFFFFF"/>
        </w:rPr>
      </w:pPr>
    </w:p>
    <w:p w:rsidR="006B6CEA" w:rsidRDefault="006B6CEA" w:rsidP="00226DC3">
      <w:pPr>
        <w:spacing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So what was happening leading up</w:t>
      </w:r>
      <w:r w:rsidR="00F336E0" w:rsidRPr="00226DC3">
        <w:rPr>
          <w:rFonts w:asciiTheme="majorHAnsi" w:hAnsiTheme="majorHAnsi" w:cs="Times"/>
          <w:color w:val="000000"/>
          <w:shd w:val="clear" w:color="auto" w:fill="FFFFFF"/>
        </w:rPr>
        <w:t xml:space="preserve"> to the performance of the play:</w:t>
      </w:r>
    </w:p>
    <w:p w:rsidR="00226DC3" w:rsidRPr="00226DC3" w:rsidRDefault="00226DC3" w:rsidP="00226DC3">
      <w:pPr>
        <w:spacing w:line="276" w:lineRule="auto"/>
        <w:rPr>
          <w:rFonts w:asciiTheme="majorHAnsi" w:hAnsiTheme="majorHAnsi" w:cs="Times"/>
          <w:color w:val="000000"/>
          <w:shd w:val="clear" w:color="auto" w:fill="FFFFFF"/>
        </w:rPr>
      </w:pPr>
    </w:p>
    <w:p w:rsidR="006B6CEA" w:rsidRPr="00226DC3" w:rsidRDefault="006B6CEA"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Shakespeare’s son died, probably from the bubonic plague, in 1596</w:t>
      </w:r>
    </w:p>
    <w:p w:rsidR="006B6CEA" w:rsidRPr="00226DC3" w:rsidRDefault="006B6CEA"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James VI of Scotland became James I of England in 1601</w:t>
      </w:r>
    </w:p>
    <w:p w:rsidR="006B6CEA" w:rsidRPr="00226DC3" w:rsidRDefault="006B6CEA"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1594 to 1603 is The Nine Year</w:t>
      </w:r>
      <w:r w:rsidR="00B32348">
        <w:rPr>
          <w:rFonts w:asciiTheme="majorHAnsi" w:hAnsiTheme="majorHAnsi" w:cs="Times"/>
          <w:color w:val="000000"/>
          <w:shd w:val="clear" w:color="auto" w:fill="FFFFFF"/>
        </w:rPr>
        <w:t>s’</w:t>
      </w:r>
      <w:r w:rsidRPr="00226DC3">
        <w:rPr>
          <w:rFonts w:asciiTheme="majorHAnsi" w:hAnsiTheme="majorHAnsi" w:cs="Times"/>
          <w:color w:val="000000"/>
          <w:shd w:val="clear" w:color="auto" w:fill="FFFFFF"/>
        </w:rPr>
        <w:t xml:space="preserve"> War where the Irish fought against English rule in Ireland </w:t>
      </w:r>
    </w:p>
    <w:p w:rsidR="006B6CEA" w:rsidRPr="00226DC3" w:rsidRDefault="006B6CEA"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 xml:space="preserve">The Gunpowder </w:t>
      </w:r>
      <w:r w:rsidR="00B32348">
        <w:rPr>
          <w:rFonts w:asciiTheme="majorHAnsi" w:hAnsiTheme="majorHAnsi" w:cs="Times"/>
          <w:color w:val="000000"/>
          <w:shd w:val="clear" w:color="auto" w:fill="FFFFFF"/>
        </w:rPr>
        <w:t>P</w:t>
      </w:r>
      <w:r w:rsidRPr="00226DC3">
        <w:rPr>
          <w:rFonts w:asciiTheme="majorHAnsi" w:hAnsiTheme="majorHAnsi" w:cs="Times"/>
          <w:color w:val="000000"/>
          <w:shd w:val="clear" w:color="auto" w:fill="FFFFFF"/>
        </w:rPr>
        <w:t>lot was in 1605</w:t>
      </w:r>
    </w:p>
    <w:p w:rsidR="006B6CEA" w:rsidRPr="00226DC3" w:rsidRDefault="00E309AE"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There was s</w:t>
      </w:r>
      <w:r w:rsidR="006B6CEA" w:rsidRPr="00226DC3">
        <w:rPr>
          <w:rFonts w:asciiTheme="majorHAnsi" w:hAnsiTheme="majorHAnsi" w:cs="Times"/>
          <w:color w:val="000000"/>
          <w:shd w:val="clear" w:color="auto" w:fill="FFFFFF"/>
        </w:rPr>
        <w:t>till ten</w:t>
      </w:r>
      <w:r w:rsidRPr="00226DC3">
        <w:rPr>
          <w:rFonts w:asciiTheme="majorHAnsi" w:hAnsiTheme="majorHAnsi" w:cs="Times"/>
          <w:color w:val="000000"/>
          <w:shd w:val="clear" w:color="auto" w:fill="FFFFFF"/>
        </w:rPr>
        <w:t>sion between Catholics and Protes</w:t>
      </w:r>
      <w:r w:rsidR="006B6CEA" w:rsidRPr="00226DC3">
        <w:rPr>
          <w:rFonts w:asciiTheme="majorHAnsi" w:hAnsiTheme="majorHAnsi" w:cs="Times"/>
          <w:color w:val="000000"/>
          <w:shd w:val="clear" w:color="auto" w:fill="FFFFFF"/>
        </w:rPr>
        <w:t>tants</w:t>
      </w:r>
    </w:p>
    <w:p w:rsidR="00EC3FA4" w:rsidRPr="00EC3FA4" w:rsidRDefault="006B6CEA" w:rsidP="00EC3FA4">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 xml:space="preserve">James was the son of the Catholic, Mary Queen of Scots, and was brought up </w:t>
      </w:r>
      <w:r w:rsidR="00EC3FA4">
        <w:rPr>
          <w:rFonts w:asciiTheme="majorHAnsi" w:hAnsiTheme="majorHAnsi" w:cs="Times"/>
          <w:color w:val="000000"/>
          <w:shd w:val="clear" w:color="auto" w:fill="FFFFFF"/>
        </w:rPr>
        <w:t xml:space="preserve">a </w:t>
      </w:r>
      <w:r w:rsidR="00B32348">
        <w:rPr>
          <w:rFonts w:asciiTheme="majorHAnsi" w:hAnsiTheme="majorHAnsi" w:cs="Times"/>
          <w:color w:val="000000"/>
          <w:shd w:val="clear" w:color="auto" w:fill="FFFFFF"/>
        </w:rPr>
        <w:t>P</w:t>
      </w:r>
      <w:r w:rsidR="00EC3FA4">
        <w:rPr>
          <w:rFonts w:asciiTheme="majorHAnsi" w:hAnsiTheme="majorHAnsi" w:cs="Times"/>
          <w:color w:val="000000"/>
          <w:shd w:val="clear" w:color="auto" w:fill="FFFFFF"/>
        </w:rPr>
        <w:t>rotestant</w:t>
      </w:r>
    </w:p>
    <w:p w:rsidR="006B6CEA" w:rsidRPr="00226DC3" w:rsidRDefault="006B6CEA"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 xml:space="preserve">Elizabeth I </w:t>
      </w:r>
      <w:r w:rsidR="00EC3FA4">
        <w:rPr>
          <w:rFonts w:asciiTheme="majorHAnsi" w:hAnsiTheme="majorHAnsi" w:cs="Times"/>
          <w:color w:val="000000"/>
          <w:shd w:val="clear" w:color="auto" w:fill="FFFFFF"/>
        </w:rPr>
        <w:t>gave the order for Mary’s death</w:t>
      </w:r>
    </w:p>
    <w:p w:rsidR="006B6CEA" w:rsidRPr="00226DC3" w:rsidRDefault="006B6CEA"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The Great Chain of Being was a widely held belief</w:t>
      </w:r>
    </w:p>
    <w:p w:rsidR="006B6CEA" w:rsidRPr="00226DC3" w:rsidRDefault="006B6CEA"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The development of Jacobean theatre and a change in public taste – the more shocking and bloodier</w:t>
      </w:r>
      <w:r w:rsidR="00B32348">
        <w:rPr>
          <w:rFonts w:asciiTheme="majorHAnsi" w:hAnsiTheme="majorHAnsi" w:cs="Times"/>
          <w:color w:val="000000"/>
          <w:shd w:val="clear" w:color="auto" w:fill="FFFFFF"/>
        </w:rPr>
        <w:t xml:space="preserve">, </w:t>
      </w:r>
      <w:r w:rsidRPr="00226DC3">
        <w:rPr>
          <w:rFonts w:asciiTheme="majorHAnsi" w:hAnsiTheme="majorHAnsi" w:cs="Times"/>
          <w:color w:val="000000"/>
          <w:shd w:val="clear" w:color="auto" w:fill="FFFFFF"/>
        </w:rPr>
        <w:t>the better the audience enjoyed it</w:t>
      </w:r>
    </w:p>
    <w:p w:rsidR="006B6CEA" w:rsidRPr="00226DC3" w:rsidRDefault="006B6CEA" w:rsidP="00226DC3">
      <w:pPr>
        <w:pStyle w:val="ListParagraph"/>
        <w:numPr>
          <w:ilvl w:val="0"/>
          <w:numId w:val="8"/>
        </w:numPr>
        <w:spacing w:after="160"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Playwrights looked to older forms</w:t>
      </w:r>
      <w:r w:rsidR="00EC3FA4">
        <w:rPr>
          <w:rFonts w:asciiTheme="majorHAnsi" w:hAnsiTheme="majorHAnsi" w:cs="Times"/>
          <w:color w:val="000000"/>
          <w:shd w:val="clear" w:color="auto" w:fill="FFFFFF"/>
        </w:rPr>
        <w:t>,</w:t>
      </w:r>
      <w:r w:rsidRPr="00226DC3">
        <w:rPr>
          <w:rFonts w:asciiTheme="majorHAnsi" w:hAnsiTheme="majorHAnsi" w:cs="Times"/>
          <w:color w:val="000000"/>
          <w:shd w:val="clear" w:color="auto" w:fill="FFFFFF"/>
        </w:rPr>
        <w:t xml:space="preserve"> such as Greek tragedy</w:t>
      </w:r>
      <w:r w:rsidR="00EC3FA4">
        <w:rPr>
          <w:rFonts w:asciiTheme="majorHAnsi" w:hAnsiTheme="majorHAnsi" w:cs="Times"/>
          <w:color w:val="000000"/>
          <w:shd w:val="clear" w:color="auto" w:fill="FFFFFF"/>
        </w:rPr>
        <w:t>,</w:t>
      </w:r>
      <w:r w:rsidRPr="00226DC3">
        <w:rPr>
          <w:rFonts w:asciiTheme="majorHAnsi" w:hAnsiTheme="majorHAnsi" w:cs="Times"/>
          <w:color w:val="000000"/>
          <w:shd w:val="clear" w:color="auto" w:fill="FFFFFF"/>
        </w:rPr>
        <w:t xml:space="preserve"> for inspiration.</w:t>
      </w:r>
    </w:p>
    <w:p w:rsidR="006B6CEA" w:rsidRPr="00226DC3" w:rsidRDefault="006B6CEA" w:rsidP="00226DC3">
      <w:pPr>
        <w:spacing w:line="276" w:lineRule="auto"/>
        <w:rPr>
          <w:rFonts w:asciiTheme="majorHAnsi" w:hAnsiTheme="majorHAnsi" w:cs="Times"/>
          <w:color w:val="000000"/>
          <w:shd w:val="clear" w:color="auto" w:fill="FFFFFF"/>
        </w:rPr>
      </w:pPr>
    </w:p>
    <w:p w:rsidR="00226DC3" w:rsidRPr="00226DC3" w:rsidRDefault="00226DC3" w:rsidP="00226DC3">
      <w:pPr>
        <w:spacing w:line="276" w:lineRule="auto"/>
        <w:rPr>
          <w:rFonts w:asciiTheme="majorHAnsi" w:hAnsiTheme="majorHAnsi" w:cs="Times"/>
          <w:b/>
          <w:color w:val="000000"/>
          <w:u w:val="single"/>
          <w:shd w:val="clear" w:color="auto" w:fill="FFFFFF"/>
        </w:rPr>
      </w:pPr>
      <w:r w:rsidRPr="00226DC3">
        <w:rPr>
          <w:rFonts w:asciiTheme="majorHAnsi" w:hAnsiTheme="majorHAnsi" w:cs="Times"/>
          <w:b/>
          <w:color w:val="000000"/>
          <w:u w:val="single"/>
          <w:shd w:val="clear" w:color="auto" w:fill="FFFFFF"/>
        </w:rPr>
        <w:t>Task</w:t>
      </w:r>
    </w:p>
    <w:p w:rsidR="00994A63" w:rsidRPr="00226DC3" w:rsidRDefault="006B6CEA" w:rsidP="00226DC3">
      <w:pPr>
        <w:spacing w:line="276" w:lineRule="auto"/>
        <w:rPr>
          <w:rFonts w:asciiTheme="majorHAnsi" w:hAnsiTheme="majorHAnsi" w:cs="Times"/>
          <w:color w:val="000000"/>
          <w:shd w:val="clear" w:color="auto" w:fill="FFFFFF"/>
        </w:rPr>
      </w:pPr>
      <w:r w:rsidRPr="00226DC3">
        <w:rPr>
          <w:rFonts w:asciiTheme="majorHAnsi" w:hAnsiTheme="majorHAnsi" w:cs="Times"/>
          <w:color w:val="000000"/>
          <w:shd w:val="clear" w:color="auto" w:fill="FFFFFF"/>
        </w:rPr>
        <w:t>Using the points above as a guide</w:t>
      </w:r>
      <w:r w:rsidR="00E309AE" w:rsidRPr="00226DC3">
        <w:rPr>
          <w:rFonts w:asciiTheme="majorHAnsi" w:hAnsiTheme="majorHAnsi" w:cs="Times"/>
          <w:color w:val="000000"/>
          <w:shd w:val="clear" w:color="auto" w:fill="FFFFFF"/>
        </w:rPr>
        <w:t>,</w:t>
      </w:r>
      <w:r w:rsidRPr="00226DC3">
        <w:rPr>
          <w:rFonts w:asciiTheme="majorHAnsi" w:hAnsiTheme="majorHAnsi" w:cs="Times"/>
          <w:color w:val="000000"/>
          <w:shd w:val="clear" w:color="auto" w:fill="FFFFFF"/>
        </w:rPr>
        <w:t xml:space="preserve"> research the context for Shakespeare’s Tragedies.</w:t>
      </w:r>
    </w:p>
    <w:p w:rsidR="00226DC3" w:rsidRDefault="00226DC3" w:rsidP="00226DC3">
      <w:pPr>
        <w:spacing w:line="276" w:lineRule="auto"/>
        <w:rPr>
          <w:rFonts w:asciiTheme="majorHAnsi" w:hAnsiTheme="majorHAnsi"/>
        </w:rPr>
      </w:pPr>
    </w:p>
    <w:p w:rsidR="00226DC3" w:rsidRDefault="00226DC3" w:rsidP="00226DC3">
      <w:pPr>
        <w:spacing w:line="276" w:lineRule="auto"/>
        <w:rPr>
          <w:rFonts w:asciiTheme="majorHAnsi" w:hAnsiTheme="majorHAnsi"/>
        </w:rPr>
      </w:pPr>
    </w:p>
    <w:p w:rsidR="00226DC3" w:rsidRPr="00226DC3" w:rsidRDefault="00226DC3" w:rsidP="00226DC3">
      <w:pPr>
        <w:jc w:val="center"/>
        <w:rPr>
          <w:rFonts w:ascii="Calibri" w:eastAsia="Arial" w:hAnsi="Calibri" w:cs="Arial"/>
          <w:b/>
          <w:bCs/>
          <w:sz w:val="16"/>
          <w:szCs w:val="16"/>
          <w:lang w:val="en-GB"/>
        </w:rPr>
      </w:pPr>
      <w:r w:rsidRPr="00226DC3">
        <w:rPr>
          <w:rFonts w:ascii="Calibri" w:eastAsia="Arial" w:hAnsi="Calibri" w:cs="Arial"/>
          <w:b/>
          <w:bCs/>
          <w:spacing w:val="-1"/>
          <w:sz w:val="16"/>
          <w:szCs w:val="16"/>
          <w:lang w:val="en-GB"/>
        </w:rPr>
        <w:t>Co</w:t>
      </w:r>
      <w:r w:rsidRPr="00226DC3">
        <w:rPr>
          <w:rFonts w:ascii="Calibri" w:eastAsia="Arial" w:hAnsi="Calibri" w:cs="Arial"/>
          <w:b/>
          <w:bCs/>
          <w:sz w:val="16"/>
          <w:szCs w:val="16"/>
          <w:lang w:val="en-GB"/>
        </w:rPr>
        <w:t>mm</w:t>
      </w:r>
      <w:r w:rsidRPr="00226DC3">
        <w:rPr>
          <w:rFonts w:ascii="Calibri" w:eastAsia="Arial" w:hAnsi="Calibri" w:cs="Arial"/>
          <w:b/>
          <w:bCs/>
          <w:spacing w:val="1"/>
          <w:sz w:val="16"/>
          <w:szCs w:val="16"/>
          <w:lang w:val="en-GB"/>
        </w:rPr>
        <w:t>i</w:t>
      </w:r>
      <w:r w:rsidRPr="00226DC3">
        <w:rPr>
          <w:rFonts w:ascii="Calibri" w:eastAsia="Arial" w:hAnsi="Calibri" w:cs="Arial"/>
          <w:b/>
          <w:bCs/>
          <w:sz w:val="16"/>
          <w:szCs w:val="16"/>
          <w:lang w:val="en-GB"/>
        </w:rPr>
        <w:t>ss</w:t>
      </w:r>
      <w:r w:rsidRPr="00226DC3">
        <w:rPr>
          <w:rFonts w:ascii="Calibri" w:eastAsia="Arial" w:hAnsi="Calibri" w:cs="Arial"/>
          <w:b/>
          <w:bCs/>
          <w:spacing w:val="1"/>
          <w:sz w:val="16"/>
          <w:szCs w:val="16"/>
          <w:lang w:val="en-GB"/>
        </w:rPr>
        <w:t>i</w:t>
      </w:r>
      <w:r w:rsidRPr="00226DC3">
        <w:rPr>
          <w:rFonts w:ascii="Calibri" w:eastAsia="Arial" w:hAnsi="Calibri" w:cs="Arial"/>
          <w:b/>
          <w:bCs/>
          <w:spacing w:val="-1"/>
          <w:sz w:val="16"/>
          <w:szCs w:val="16"/>
          <w:lang w:val="en-GB"/>
        </w:rPr>
        <w:t>on</w:t>
      </w:r>
      <w:r w:rsidRPr="00226DC3">
        <w:rPr>
          <w:rFonts w:ascii="Calibri" w:eastAsia="Arial" w:hAnsi="Calibri" w:cs="Arial"/>
          <w:b/>
          <w:bCs/>
          <w:sz w:val="16"/>
          <w:szCs w:val="16"/>
          <w:lang w:val="en-GB"/>
        </w:rPr>
        <w:t xml:space="preserve">ed </w:t>
      </w:r>
      <w:r w:rsidRPr="00226DC3">
        <w:rPr>
          <w:rFonts w:ascii="Calibri" w:eastAsia="Arial" w:hAnsi="Calibri" w:cs="Arial"/>
          <w:b/>
          <w:bCs/>
          <w:spacing w:val="1"/>
          <w:sz w:val="16"/>
          <w:szCs w:val="16"/>
          <w:lang w:val="en-GB"/>
        </w:rPr>
        <w:t>b</w:t>
      </w:r>
      <w:r w:rsidRPr="00226DC3">
        <w:rPr>
          <w:rFonts w:ascii="Calibri" w:eastAsia="Arial" w:hAnsi="Calibri" w:cs="Arial"/>
          <w:b/>
          <w:bCs/>
          <w:sz w:val="16"/>
          <w:szCs w:val="16"/>
          <w:lang w:val="en-GB"/>
        </w:rPr>
        <w:t>y</w:t>
      </w:r>
      <w:r w:rsidRPr="00226DC3">
        <w:rPr>
          <w:rFonts w:ascii="Calibri" w:eastAsia="Arial" w:hAnsi="Calibri" w:cs="Arial"/>
          <w:b/>
          <w:bCs/>
          <w:spacing w:val="-3"/>
          <w:sz w:val="16"/>
          <w:szCs w:val="16"/>
          <w:lang w:val="en-GB"/>
        </w:rPr>
        <w:t xml:space="preserve"> </w:t>
      </w:r>
      <w:r w:rsidRPr="00226DC3">
        <w:rPr>
          <w:rFonts w:ascii="Calibri" w:eastAsia="Arial" w:hAnsi="Calibri" w:cs="Arial"/>
          <w:b/>
          <w:bCs/>
          <w:spacing w:val="-1"/>
          <w:sz w:val="16"/>
          <w:szCs w:val="16"/>
          <w:lang w:val="en-GB"/>
        </w:rPr>
        <w:t>Th</w:t>
      </w:r>
      <w:r w:rsidRPr="00226DC3">
        <w:rPr>
          <w:rFonts w:ascii="Calibri" w:eastAsia="Arial" w:hAnsi="Calibri" w:cs="Arial"/>
          <w:b/>
          <w:bCs/>
          <w:sz w:val="16"/>
          <w:szCs w:val="16"/>
          <w:lang w:val="en-GB"/>
        </w:rPr>
        <w:t>e</w:t>
      </w:r>
      <w:r w:rsidRPr="00226DC3">
        <w:rPr>
          <w:rFonts w:ascii="Calibri" w:eastAsia="Arial" w:hAnsi="Calibri" w:cs="Arial"/>
          <w:b/>
          <w:bCs/>
          <w:spacing w:val="1"/>
          <w:sz w:val="16"/>
          <w:szCs w:val="16"/>
          <w:lang w:val="en-GB"/>
        </w:rPr>
        <w:t xml:space="preserve"> </w:t>
      </w:r>
      <w:r w:rsidRPr="00226DC3">
        <w:rPr>
          <w:rFonts w:ascii="Calibri" w:eastAsia="Arial" w:hAnsi="Calibri" w:cs="Arial"/>
          <w:b/>
          <w:bCs/>
          <w:sz w:val="16"/>
          <w:szCs w:val="16"/>
          <w:lang w:val="en-GB"/>
        </w:rPr>
        <w:t>P</w:t>
      </w:r>
      <w:r w:rsidRPr="00226DC3">
        <w:rPr>
          <w:rFonts w:ascii="Calibri" w:eastAsia="Arial" w:hAnsi="Calibri" w:cs="Arial"/>
          <w:b/>
          <w:bCs/>
          <w:spacing w:val="-1"/>
          <w:sz w:val="16"/>
          <w:szCs w:val="16"/>
          <w:lang w:val="en-GB"/>
        </w:rPr>
        <w:t>i</w:t>
      </w:r>
      <w:r w:rsidRPr="00226DC3">
        <w:rPr>
          <w:rFonts w:ascii="Calibri" w:eastAsia="Arial" w:hAnsi="Calibri" w:cs="Arial"/>
          <w:b/>
          <w:bCs/>
          <w:sz w:val="16"/>
          <w:szCs w:val="16"/>
          <w:lang w:val="en-GB"/>
        </w:rPr>
        <w:t xml:space="preserve">XL </w:t>
      </w:r>
      <w:r w:rsidRPr="00226DC3">
        <w:rPr>
          <w:rFonts w:ascii="Calibri" w:eastAsia="Arial" w:hAnsi="Calibri" w:cs="Arial"/>
          <w:b/>
          <w:bCs/>
          <w:spacing w:val="-1"/>
          <w:sz w:val="16"/>
          <w:szCs w:val="16"/>
          <w:lang w:val="en-GB"/>
        </w:rPr>
        <w:t>C</w:t>
      </w:r>
      <w:r w:rsidRPr="00226DC3">
        <w:rPr>
          <w:rFonts w:ascii="Calibri" w:eastAsia="Arial" w:hAnsi="Calibri" w:cs="Arial"/>
          <w:b/>
          <w:bCs/>
          <w:spacing w:val="1"/>
          <w:sz w:val="16"/>
          <w:szCs w:val="16"/>
          <w:lang w:val="en-GB"/>
        </w:rPr>
        <w:t>l</w:t>
      </w:r>
      <w:r w:rsidRPr="00226DC3">
        <w:rPr>
          <w:rFonts w:ascii="Calibri" w:eastAsia="Arial" w:hAnsi="Calibri" w:cs="Arial"/>
          <w:b/>
          <w:bCs/>
          <w:spacing w:val="-1"/>
          <w:sz w:val="16"/>
          <w:szCs w:val="16"/>
          <w:lang w:val="en-GB"/>
        </w:rPr>
        <w:t>u</w:t>
      </w:r>
      <w:r w:rsidRPr="00226DC3">
        <w:rPr>
          <w:rFonts w:ascii="Calibri" w:eastAsia="Arial" w:hAnsi="Calibri" w:cs="Arial"/>
          <w:b/>
          <w:bCs/>
          <w:sz w:val="16"/>
          <w:szCs w:val="16"/>
          <w:lang w:val="en-GB"/>
        </w:rPr>
        <w:t xml:space="preserve">b </w:t>
      </w:r>
      <w:r w:rsidRPr="00226DC3">
        <w:rPr>
          <w:rFonts w:ascii="Calibri" w:eastAsia="Arial" w:hAnsi="Calibri" w:cs="Arial"/>
          <w:b/>
          <w:bCs/>
          <w:spacing w:val="-1"/>
          <w:sz w:val="16"/>
          <w:szCs w:val="16"/>
          <w:lang w:val="en-GB"/>
        </w:rPr>
        <w:t>L</w:t>
      </w:r>
      <w:r w:rsidRPr="00226DC3">
        <w:rPr>
          <w:rFonts w:ascii="Calibri" w:eastAsia="Arial" w:hAnsi="Calibri" w:cs="Arial"/>
          <w:b/>
          <w:bCs/>
          <w:spacing w:val="-2"/>
          <w:sz w:val="16"/>
          <w:szCs w:val="16"/>
          <w:lang w:val="en-GB"/>
        </w:rPr>
        <w:t>t</w:t>
      </w:r>
      <w:r w:rsidRPr="00226DC3">
        <w:rPr>
          <w:rFonts w:ascii="Calibri" w:eastAsia="Arial" w:hAnsi="Calibri" w:cs="Arial"/>
          <w:b/>
          <w:bCs/>
          <w:spacing w:val="-1"/>
          <w:sz w:val="16"/>
          <w:szCs w:val="16"/>
          <w:lang w:val="en-GB"/>
        </w:rPr>
        <w:t>d</w:t>
      </w:r>
      <w:r w:rsidRPr="00226DC3">
        <w:rPr>
          <w:rFonts w:ascii="Calibri" w:eastAsia="Arial" w:hAnsi="Calibri" w:cs="Arial"/>
          <w:b/>
          <w:bCs/>
          <w:sz w:val="16"/>
          <w:szCs w:val="16"/>
          <w:lang w:val="en-GB"/>
        </w:rPr>
        <w:t>.</w:t>
      </w:r>
    </w:p>
    <w:p w:rsidR="00226DC3" w:rsidRPr="00226DC3" w:rsidRDefault="00226DC3" w:rsidP="00226DC3">
      <w:pPr>
        <w:jc w:val="center"/>
        <w:rPr>
          <w:rFonts w:ascii="Calibri" w:eastAsia="Times New Roman" w:hAnsi="Calibri" w:cs="Arial"/>
          <w:sz w:val="16"/>
          <w:szCs w:val="16"/>
          <w:lang w:eastAsia="en-GB"/>
        </w:rPr>
      </w:pPr>
    </w:p>
    <w:p w:rsidR="00226DC3" w:rsidRPr="00226DC3" w:rsidRDefault="00226DC3" w:rsidP="00226DC3">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226DC3" w:rsidRPr="00226DC3" w:rsidRDefault="00226DC3" w:rsidP="00226DC3">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226DC3">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226DC3">
        <w:rPr>
          <w:rFonts w:ascii="Calibri" w:eastAsia="Times New Roman" w:hAnsi="Calibri" w:cs="Arial"/>
          <w:sz w:val="20"/>
          <w:szCs w:val="20"/>
          <w:lang w:eastAsia="en-GB"/>
        </w:rPr>
        <w:t> </w:t>
      </w:r>
    </w:p>
    <w:p w:rsidR="00226DC3" w:rsidRPr="00226DC3" w:rsidRDefault="00226DC3" w:rsidP="00226DC3">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sectPr w:rsidR="00226DC3" w:rsidRPr="00226DC3"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01" w:rsidRDefault="00652A01" w:rsidP="00F4382F">
      <w:r>
        <w:separator/>
      </w:r>
    </w:p>
  </w:endnote>
  <w:endnote w:type="continuationSeparator" w:id="0">
    <w:p w:rsidR="00652A01" w:rsidRDefault="00652A01"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3B3867">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CE3028">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01" w:rsidRDefault="00652A01" w:rsidP="00F4382F">
      <w:r>
        <w:separator/>
      </w:r>
    </w:p>
  </w:footnote>
  <w:footnote w:type="continuationSeparator" w:id="0">
    <w:p w:rsidR="00652A01" w:rsidRDefault="00652A01"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733FC"/>
    <w:multiLevelType w:val="hybridMultilevel"/>
    <w:tmpl w:val="F9B2D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928D1"/>
    <w:multiLevelType w:val="multilevel"/>
    <w:tmpl w:val="4AE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52467"/>
    <w:multiLevelType w:val="hybridMultilevel"/>
    <w:tmpl w:val="7B14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F30F88"/>
    <w:multiLevelType w:val="multilevel"/>
    <w:tmpl w:val="233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C5CA0"/>
    <w:multiLevelType w:val="hybridMultilevel"/>
    <w:tmpl w:val="62F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464DD"/>
    <w:rsid w:val="001A397C"/>
    <w:rsid w:val="001C3C91"/>
    <w:rsid w:val="00226DC3"/>
    <w:rsid w:val="003B3867"/>
    <w:rsid w:val="00447833"/>
    <w:rsid w:val="004637C4"/>
    <w:rsid w:val="004819DC"/>
    <w:rsid w:val="00652A01"/>
    <w:rsid w:val="006572B4"/>
    <w:rsid w:val="00692EBD"/>
    <w:rsid w:val="006B6CEA"/>
    <w:rsid w:val="006D2322"/>
    <w:rsid w:val="008D7933"/>
    <w:rsid w:val="00994A63"/>
    <w:rsid w:val="009C6CC7"/>
    <w:rsid w:val="00AB4C08"/>
    <w:rsid w:val="00AC7F71"/>
    <w:rsid w:val="00AF73A8"/>
    <w:rsid w:val="00B32348"/>
    <w:rsid w:val="00B43D3F"/>
    <w:rsid w:val="00BC0E0F"/>
    <w:rsid w:val="00C303E4"/>
    <w:rsid w:val="00CA4882"/>
    <w:rsid w:val="00CE3028"/>
    <w:rsid w:val="00CF268E"/>
    <w:rsid w:val="00D15E72"/>
    <w:rsid w:val="00D2289E"/>
    <w:rsid w:val="00D37A16"/>
    <w:rsid w:val="00D67EAE"/>
    <w:rsid w:val="00DB4E2B"/>
    <w:rsid w:val="00E309AE"/>
    <w:rsid w:val="00E368D7"/>
    <w:rsid w:val="00EC3FA4"/>
    <w:rsid w:val="00F336E0"/>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62B70C-4201-4DCA-B3FE-70E44B6B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customStyle="1" w:styleId="apple-converted-space">
    <w:name w:val="apple-converted-space"/>
    <w:basedOn w:val="DefaultParagraphFont"/>
    <w:rsid w:val="00AB4C08"/>
  </w:style>
  <w:style w:type="character" w:styleId="CommentReference">
    <w:name w:val="annotation reference"/>
    <w:basedOn w:val="DefaultParagraphFont"/>
    <w:uiPriority w:val="99"/>
    <w:semiHidden/>
    <w:unhideWhenUsed/>
    <w:rsid w:val="00B32348"/>
    <w:rPr>
      <w:sz w:val="16"/>
      <w:szCs w:val="16"/>
    </w:rPr>
  </w:style>
  <w:style w:type="paragraph" w:styleId="CommentText">
    <w:name w:val="annotation text"/>
    <w:basedOn w:val="Normal"/>
    <w:link w:val="CommentTextChar"/>
    <w:uiPriority w:val="99"/>
    <w:semiHidden/>
    <w:unhideWhenUsed/>
    <w:rsid w:val="00B32348"/>
    <w:rPr>
      <w:sz w:val="20"/>
      <w:szCs w:val="20"/>
    </w:rPr>
  </w:style>
  <w:style w:type="character" w:customStyle="1" w:styleId="CommentTextChar">
    <w:name w:val="Comment Text Char"/>
    <w:basedOn w:val="DefaultParagraphFont"/>
    <w:link w:val="CommentText"/>
    <w:uiPriority w:val="99"/>
    <w:semiHidden/>
    <w:rsid w:val="00B32348"/>
    <w:rPr>
      <w:sz w:val="20"/>
      <w:szCs w:val="20"/>
    </w:rPr>
  </w:style>
  <w:style w:type="paragraph" w:styleId="CommentSubject">
    <w:name w:val="annotation subject"/>
    <w:basedOn w:val="CommentText"/>
    <w:next w:val="CommentText"/>
    <w:link w:val="CommentSubjectChar"/>
    <w:uiPriority w:val="99"/>
    <w:semiHidden/>
    <w:unhideWhenUsed/>
    <w:rsid w:val="00B32348"/>
    <w:rPr>
      <w:b/>
      <w:bCs/>
    </w:rPr>
  </w:style>
  <w:style w:type="character" w:customStyle="1" w:styleId="CommentSubjectChar">
    <w:name w:val="Comment Subject Char"/>
    <w:basedOn w:val="CommentTextChar"/>
    <w:link w:val="CommentSubject"/>
    <w:uiPriority w:val="99"/>
    <w:semiHidden/>
    <w:rsid w:val="00B323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D0DC-CAB3-45A7-B67E-CCB1F6E0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2016-09-21T14:51:00Z</dcterms:created>
  <dcterms:modified xsi:type="dcterms:W3CDTF">2016-09-21T14:51:00Z</dcterms:modified>
</cp:coreProperties>
</file>